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b w:val="1"/>
          <w:sz w:val="20"/>
          <w:szCs w:val="20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do coletivo ou grupo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o coletivo ou grupo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grupo/coletivo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-571498</wp:posOffset>
          </wp:positionH>
          <wp:positionV relativeFrom="paragraph">
            <wp:posOffset>-66673</wp:posOffset>
          </wp:positionV>
          <wp:extent cx="1290638" cy="56412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290638" cy="564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7048500</wp:posOffset>
          </wp:positionH>
          <wp:positionV relativeFrom="paragraph">
            <wp:posOffset>-130497</wp:posOffset>
          </wp:positionV>
          <wp:extent cx="2125415" cy="74010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25415" cy="74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2505075</wp:posOffset>
          </wp:positionH>
          <wp:positionV relativeFrom="paragraph">
            <wp:posOffset>-63824</wp:posOffset>
          </wp:positionV>
          <wp:extent cx="3353838" cy="56197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3838" cy="5619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-609598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VVjPOYOgpN0VIaLgs0sBSvOfg==">CgMxLjA4AHIhMXk4M1Vlc0x1aEdlZHVHc2RpdWRRX29NWWZZcDBnOXQy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